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>Купинского района  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финансово-экономической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="002329B7">
        <w:rPr>
          <w:bCs/>
          <w:color w:val="000000"/>
          <w:sz w:val="28"/>
          <w:szCs w:val="28"/>
        </w:rPr>
        <w:t>Новоключевского</w:t>
      </w:r>
      <w:r w:rsidR="00100600">
        <w:rPr>
          <w:bCs/>
          <w:color w:val="000000"/>
          <w:sz w:val="28"/>
          <w:szCs w:val="28"/>
        </w:rPr>
        <w:t xml:space="preserve"> сельсовета «КДЦ»</w:t>
      </w:r>
      <w:r w:rsidRPr="00657A3C">
        <w:rPr>
          <w:bCs/>
          <w:color w:val="000000"/>
          <w:sz w:val="28"/>
          <w:szCs w:val="28"/>
        </w:rPr>
        <w:t xml:space="preserve"> за </w:t>
      </w:r>
      <w:r w:rsidR="00377567">
        <w:rPr>
          <w:bCs/>
          <w:color w:val="000000"/>
          <w:sz w:val="28"/>
          <w:szCs w:val="28"/>
        </w:rPr>
        <w:t xml:space="preserve">первое полугодие </w:t>
      </w:r>
      <w:r w:rsidRPr="00657A3C">
        <w:rPr>
          <w:bCs/>
          <w:color w:val="000000"/>
          <w:sz w:val="28"/>
          <w:szCs w:val="28"/>
        </w:rPr>
        <w:t>20</w:t>
      </w:r>
      <w:r w:rsidR="002329B7">
        <w:rPr>
          <w:bCs/>
          <w:color w:val="000000"/>
          <w:sz w:val="28"/>
          <w:szCs w:val="28"/>
        </w:rPr>
        <w:t>2</w:t>
      </w:r>
      <w:r w:rsidR="00BB4395">
        <w:rPr>
          <w:bCs/>
          <w:color w:val="000000"/>
          <w:sz w:val="28"/>
          <w:szCs w:val="28"/>
        </w:rPr>
        <w:t>4</w:t>
      </w:r>
      <w:r w:rsidRPr="00657A3C">
        <w:rPr>
          <w:bCs/>
          <w:color w:val="000000"/>
          <w:sz w:val="28"/>
          <w:szCs w:val="28"/>
        </w:rPr>
        <w:t>год</w:t>
      </w:r>
      <w:r w:rsidR="00377567">
        <w:rPr>
          <w:bCs/>
          <w:color w:val="000000"/>
          <w:sz w:val="28"/>
          <w:szCs w:val="28"/>
        </w:rPr>
        <w:t>а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color w:val="000000"/>
          <w:sz w:val="28"/>
          <w:szCs w:val="28"/>
        </w:rPr>
        <w:t>«</w:t>
      </w:r>
      <w:r w:rsidR="002D1153">
        <w:rPr>
          <w:color w:val="000000"/>
          <w:sz w:val="28"/>
          <w:szCs w:val="28"/>
        </w:rPr>
        <w:t>05</w:t>
      </w:r>
      <w:r w:rsidRPr="00C20BC1">
        <w:rPr>
          <w:color w:val="000000"/>
          <w:sz w:val="28"/>
          <w:szCs w:val="28"/>
        </w:rPr>
        <w:t xml:space="preserve">» </w:t>
      </w:r>
      <w:r w:rsidR="006D54D7">
        <w:rPr>
          <w:color w:val="000000"/>
          <w:sz w:val="28"/>
          <w:szCs w:val="28"/>
        </w:rPr>
        <w:t>июл</w:t>
      </w:r>
      <w:r w:rsidRPr="00C20BC1">
        <w:rPr>
          <w:color w:val="000000"/>
          <w:sz w:val="28"/>
          <w:szCs w:val="28"/>
        </w:rPr>
        <w:t>я</w:t>
      </w:r>
      <w:r w:rsidRPr="00657A3C">
        <w:rPr>
          <w:color w:val="000000"/>
          <w:sz w:val="28"/>
          <w:szCs w:val="28"/>
        </w:rPr>
        <w:t xml:space="preserve"> 20</w:t>
      </w:r>
      <w:r w:rsidR="00502B0C">
        <w:rPr>
          <w:color w:val="000000"/>
          <w:sz w:val="28"/>
          <w:szCs w:val="28"/>
        </w:rPr>
        <w:t>24</w:t>
      </w:r>
      <w:r w:rsidRPr="00657A3C">
        <w:rPr>
          <w:color w:val="000000"/>
          <w:sz w:val="28"/>
          <w:szCs w:val="28"/>
        </w:rPr>
        <w:t>г.</w:t>
      </w:r>
      <w:r w:rsidR="002329B7">
        <w:rPr>
          <w:color w:val="000000"/>
          <w:sz w:val="28"/>
          <w:szCs w:val="28"/>
        </w:rPr>
        <w:t>с. Новоключи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35643A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 w:rsidRPr="003302DF">
        <w:rPr>
          <w:b w:val="0"/>
          <w:szCs w:val="28"/>
        </w:rPr>
        <w:t xml:space="preserve">           В соответствии с планом контрольных мероприятий по внутреннему финансовому контролю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502B0C">
        <w:rPr>
          <w:b w:val="0"/>
          <w:szCs w:val="28"/>
        </w:rPr>
        <w:t>24</w:t>
      </w:r>
      <w:r w:rsidRPr="003302DF">
        <w:rPr>
          <w:b w:val="0"/>
          <w:szCs w:val="28"/>
        </w:rPr>
        <w:t xml:space="preserve"> год, утвержденным постановлением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проведена </w:t>
      </w:r>
      <w:r w:rsidR="00377567" w:rsidRPr="003302DF">
        <w:rPr>
          <w:b w:val="0"/>
          <w:szCs w:val="28"/>
        </w:rPr>
        <w:t>проверка по</w:t>
      </w:r>
      <w:r w:rsidRPr="003302DF">
        <w:rPr>
          <w:b w:val="0"/>
          <w:szCs w:val="28"/>
        </w:rPr>
        <w:t xml:space="preserve"> внутреннему муниципальному финансовому кон</w:t>
      </w:r>
      <w:r w:rsidR="00502B0C">
        <w:rPr>
          <w:b w:val="0"/>
          <w:szCs w:val="28"/>
        </w:rPr>
        <w:t>тролю за период с 01 января 2024</w:t>
      </w:r>
      <w:r w:rsidRPr="003302DF">
        <w:rPr>
          <w:b w:val="0"/>
          <w:szCs w:val="28"/>
        </w:rPr>
        <w:t xml:space="preserve"> года по </w:t>
      </w:r>
      <w:r w:rsidR="00377567">
        <w:rPr>
          <w:b w:val="0"/>
          <w:szCs w:val="28"/>
        </w:rPr>
        <w:t>30 ию</w:t>
      </w:r>
      <w:r w:rsidR="00502B0C">
        <w:rPr>
          <w:b w:val="0"/>
          <w:szCs w:val="28"/>
        </w:rPr>
        <w:t>ня 2024</w:t>
      </w:r>
      <w:r w:rsidRPr="003302DF">
        <w:rPr>
          <w:b w:val="0"/>
          <w:szCs w:val="28"/>
        </w:rPr>
        <w:t xml:space="preserve">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 xml:space="preserve">Срок проведения </w:t>
      </w:r>
      <w:r w:rsidR="00377567" w:rsidRPr="003302DF">
        <w:rPr>
          <w:b/>
          <w:i/>
          <w:sz w:val="28"/>
          <w:szCs w:val="28"/>
        </w:rPr>
        <w:t>проверки:</w:t>
      </w:r>
      <w:r w:rsidR="00377567" w:rsidRPr="003302DF">
        <w:rPr>
          <w:sz w:val="28"/>
          <w:szCs w:val="28"/>
        </w:rPr>
        <w:t xml:space="preserve"> начало</w:t>
      </w:r>
      <w:r w:rsidRPr="003302DF">
        <w:rPr>
          <w:sz w:val="28"/>
          <w:szCs w:val="28"/>
        </w:rPr>
        <w:t xml:space="preserve"> – </w:t>
      </w:r>
      <w:r w:rsidR="00502B0C">
        <w:rPr>
          <w:sz w:val="28"/>
          <w:szCs w:val="28"/>
        </w:rPr>
        <w:t>30 июня 2024</w:t>
      </w:r>
      <w:r w:rsidR="00377567">
        <w:rPr>
          <w:sz w:val="28"/>
          <w:szCs w:val="28"/>
        </w:rPr>
        <w:t xml:space="preserve"> года, окончание </w:t>
      </w:r>
      <w:r w:rsidRPr="003302DF">
        <w:rPr>
          <w:sz w:val="28"/>
          <w:szCs w:val="28"/>
        </w:rPr>
        <w:t xml:space="preserve">– </w:t>
      </w:r>
      <w:r w:rsidR="00502B0C">
        <w:rPr>
          <w:sz w:val="28"/>
          <w:szCs w:val="28"/>
        </w:rPr>
        <w:t>04 июля 2024</w:t>
      </w:r>
      <w:r w:rsidRPr="003302DF">
        <w:rPr>
          <w:sz w:val="28"/>
          <w:szCs w:val="28"/>
        </w:rPr>
        <w:t xml:space="preserve"> года.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финансово-экономической деятельности </w:t>
      </w:r>
      <w:r w:rsidR="00377567">
        <w:rPr>
          <w:sz w:val="28"/>
          <w:szCs w:val="28"/>
        </w:rPr>
        <w:t>Муниципального казенного учреждения</w:t>
      </w:r>
      <w:r w:rsidR="00377567" w:rsidRPr="0095750C">
        <w:rPr>
          <w:sz w:val="28"/>
          <w:szCs w:val="28"/>
        </w:rPr>
        <w:t xml:space="preserve"> Новоключевского</w:t>
      </w:r>
      <w:r w:rsidRPr="0095750C">
        <w:rPr>
          <w:sz w:val="28"/>
          <w:szCs w:val="28"/>
        </w:rPr>
        <w:t xml:space="preserve"> сельсовета «Культурно-досуговый центр»проведена в период с </w:t>
      </w:r>
      <w:r w:rsidR="00502B0C">
        <w:rPr>
          <w:sz w:val="28"/>
          <w:szCs w:val="28"/>
        </w:rPr>
        <w:t>30.06.2024</w:t>
      </w:r>
      <w:r w:rsidR="00377567">
        <w:rPr>
          <w:sz w:val="28"/>
          <w:szCs w:val="28"/>
        </w:rPr>
        <w:t xml:space="preserve"> по </w:t>
      </w:r>
      <w:r w:rsidR="00502B0C">
        <w:rPr>
          <w:sz w:val="28"/>
          <w:szCs w:val="28"/>
        </w:rPr>
        <w:t>04.07.2024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РФ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8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РФ и иными </w:t>
      </w:r>
      <w:hyperlink r:id="rId9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Pr="0095750C">
        <w:rPr>
          <w:sz w:val="28"/>
          <w:szCs w:val="28"/>
        </w:rPr>
        <w:t xml:space="preserve">в МКУ  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0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1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="00377567" w:rsidRPr="00377567">
        <w:rPr>
          <w:bCs/>
          <w:iCs/>
          <w:sz w:val="28"/>
          <w:szCs w:val="28"/>
        </w:rPr>
        <w:t>первое полугодие</w:t>
      </w:r>
      <w:r w:rsidRPr="00657A3C">
        <w:rPr>
          <w:sz w:val="28"/>
          <w:szCs w:val="28"/>
        </w:rPr>
        <w:t>20</w:t>
      </w:r>
      <w:r w:rsidR="00502B0C">
        <w:rPr>
          <w:sz w:val="28"/>
          <w:szCs w:val="28"/>
        </w:rPr>
        <w:t>24</w:t>
      </w:r>
      <w:r w:rsidRPr="00657A3C">
        <w:rPr>
          <w:sz w:val="28"/>
          <w:szCs w:val="28"/>
        </w:rPr>
        <w:t xml:space="preserve"> год</w:t>
      </w:r>
      <w:r w:rsidR="00377567">
        <w:rPr>
          <w:sz w:val="28"/>
          <w:szCs w:val="28"/>
        </w:rPr>
        <w:t>а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МКУ Новоключевского сельсовета  «Культурно - досуговый центр»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ОГРН 1055474014639  ИНН/КПП 5429107543/542901001 ОКТМО 77556156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Адрес: 632763, НСО, Купинский район, с. Новоключи, ул.Лазурная,2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Директор    – Кузьмина Надежда Ильинична 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 xml:space="preserve">Бухгалтер - специалист, осуществляющий ведение бюджетного учета и формирование бюджетной отчетности администрации МО – </w:t>
      </w:r>
      <w:r w:rsidR="002D1153">
        <w:rPr>
          <w:szCs w:val="28"/>
          <w:lang w:eastAsia="ru-RU"/>
        </w:rPr>
        <w:t>Сумина</w:t>
      </w:r>
      <w:r w:rsidRPr="002329B7">
        <w:rPr>
          <w:szCs w:val="28"/>
          <w:lang w:eastAsia="ru-RU"/>
        </w:rPr>
        <w:t xml:space="preserve"> Оксана Николаевна.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МКУ </w:t>
      </w:r>
      <w:r w:rsidR="002329B7">
        <w:rPr>
          <w:sz w:val="28"/>
          <w:szCs w:val="28"/>
        </w:rPr>
        <w:t>Новоключевского</w:t>
      </w:r>
      <w:r w:rsidR="002D1153">
        <w:rPr>
          <w:sz w:val="28"/>
          <w:szCs w:val="28"/>
        </w:rPr>
        <w:t xml:space="preserve"> сельсовета </w:t>
      </w:r>
      <w:r w:rsidRPr="002B1DEF">
        <w:rPr>
          <w:sz w:val="28"/>
          <w:szCs w:val="28"/>
        </w:rPr>
        <w:t>«Культурно-досуговый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МКУ </w:t>
      </w:r>
      <w:r w:rsidR="002329B7">
        <w:rPr>
          <w:szCs w:val="28"/>
        </w:rPr>
        <w:t>Новоключевского</w:t>
      </w:r>
      <w:r w:rsidR="002D1153">
        <w:rPr>
          <w:szCs w:val="28"/>
        </w:rPr>
        <w:t xml:space="preserve"> сельсовета </w:t>
      </w:r>
      <w:r w:rsidRPr="002B1DEF">
        <w:rPr>
          <w:szCs w:val="28"/>
        </w:rPr>
        <w:t xml:space="preserve">«Культурно-досуговый центр» является Администрация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Купинско</w:t>
      </w:r>
      <w:r w:rsidR="002D1153">
        <w:rPr>
          <w:szCs w:val="28"/>
        </w:rPr>
        <w:t xml:space="preserve">го района Новосибирской </w:t>
      </w:r>
      <w:r w:rsidRPr="002B1DEF">
        <w:rPr>
          <w:szCs w:val="28"/>
        </w:rPr>
        <w:t xml:space="preserve">области.  Организационно - правовая форма – казенное учреждение.  МКУ </w:t>
      </w:r>
      <w:r w:rsidR="002329B7">
        <w:rPr>
          <w:szCs w:val="28"/>
        </w:rPr>
        <w:t>Новоключевского</w:t>
      </w:r>
      <w:r w:rsidR="002D1153">
        <w:rPr>
          <w:szCs w:val="28"/>
        </w:rPr>
        <w:t xml:space="preserve"> сельсовета </w:t>
      </w:r>
      <w:r w:rsidRPr="002B1DEF">
        <w:rPr>
          <w:szCs w:val="28"/>
        </w:rPr>
        <w:t>«Культурно-досуговый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расчетно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</w:t>
      </w:r>
      <w:r w:rsidR="00377567">
        <w:rPr>
          <w:sz w:val="28"/>
          <w:szCs w:val="28"/>
        </w:rPr>
        <w:t xml:space="preserve"> кассовой дисциплины проведена </w:t>
      </w:r>
      <w:r w:rsidRPr="0056151B">
        <w:rPr>
          <w:sz w:val="28"/>
          <w:szCs w:val="28"/>
        </w:rPr>
        <w:t>с 01.01.20</w:t>
      </w:r>
      <w:r w:rsidR="00502B0C">
        <w:rPr>
          <w:sz w:val="28"/>
          <w:szCs w:val="28"/>
        </w:rPr>
        <w:t>24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30</w:t>
      </w:r>
      <w:r w:rsidRPr="0056151B">
        <w:rPr>
          <w:sz w:val="28"/>
          <w:szCs w:val="28"/>
        </w:rPr>
        <w:t>.</w:t>
      </w:r>
      <w:r w:rsidR="00502B0C">
        <w:rPr>
          <w:sz w:val="28"/>
          <w:szCs w:val="28"/>
        </w:rPr>
        <w:t>06.2024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</w:t>
      </w:r>
      <w:r w:rsidR="00502B0C">
        <w:rPr>
          <w:sz w:val="28"/>
        </w:rPr>
        <w:t>4</w:t>
      </w:r>
      <w:r w:rsidRPr="0056151B">
        <w:rPr>
          <w:sz w:val="28"/>
        </w:rPr>
        <w:t xml:space="preserve">г.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lastRenderedPageBreak/>
        <w:t>Представленные</w:t>
      </w:r>
      <w:r w:rsidR="00502B0C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502B0C">
        <w:rPr>
          <w:sz w:val="28"/>
          <w:szCs w:val="28"/>
          <w:shd w:val="clear" w:color="auto" w:fill="FFFFFF"/>
        </w:rPr>
        <w:t>24</w:t>
      </w:r>
      <w:r w:rsidRPr="00137BBB">
        <w:rPr>
          <w:sz w:val="28"/>
          <w:szCs w:val="28"/>
          <w:shd w:val="clear" w:color="auto" w:fill="FFFFFF"/>
        </w:rPr>
        <w:t>г</w:t>
      </w:r>
      <w:r w:rsidR="001D1F0C" w:rsidRPr="0056151B">
        <w:rPr>
          <w:sz w:val="28"/>
          <w:szCs w:val="28"/>
          <w:shd w:val="clear" w:color="auto" w:fill="FFFFFF"/>
        </w:rPr>
        <w:t>.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502B0C">
        <w:rPr>
          <w:sz w:val="28"/>
          <w:szCs w:val="28"/>
          <w:shd w:val="clear" w:color="auto" w:fill="FFFFFF"/>
        </w:rPr>
        <w:t xml:space="preserve"> </w:t>
      </w:r>
      <w:r w:rsidR="00FF69CC" w:rsidRPr="0056151B">
        <w:rPr>
          <w:sz w:val="28"/>
          <w:szCs w:val="28"/>
          <w:shd w:val="clear" w:color="auto" w:fill="FFFFFF"/>
        </w:rPr>
        <w:t xml:space="preserve">Журналы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56151B">
        <w:rPr>
          <w:sz w:val="28"/>
          <w:szCs w:val="28"/>
          <w:shd w:val="clear" w:color="auto" w:fill="FFFFFF"/>
        </w:rPr>
        <w:t>Журнале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</w:t>
      </w:r>
      <w:r w:rsidR="002D1153">
        <w:rPr>
          <w:sz w:val="28"/>
          <w:szCs w:val="28"/>
          <w:shd w:val="clear" w:color="auto" w:fill="FFFFFF"/>
        </w:rPr>
        <w:t xml:space="preserve">ые документы, журналы операций </w:t>
      </w:r>
      <w:r w:rsidRPr="0056151B">
        <w:rPr>
          <w:sz w:val="28"/>
          <w:szCs w:val="28"/>
          <w:shd w:val="clear" w:color="auto" w:fill="FFFFFF"/>
        </w:rPr>
        <w:t>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377567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Документы,</w:t>
      </w:r>
      <w:r w:rsidR="00754334" w:rsidRPr="0056151B">
        <w:rPr>
          <w:sz w:val="28"/>
          <w:szCs w:val="28"/>
          <w:shd w:val="clear" w:color="auto" w:fill="FFFFFF"/>
        </w:rPr>
        <w:t xml:space="preserve">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>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377567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Штатные расписания,</w:t>
      </w:r>
      <w:r w:rsidR="00A9440B" w:rsidRPr="0056151B">
        <w:rPr>
          <w:rFonts w:eastAsiaTheme="minorHAnsi"/>
          <w:sz w:val="28"/>
          <w:szCs w:val="28"/>
          <w:lang w:eastAsia="en-US"/>
        </w:rPr>
        <w:t xml:space="preserve">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="00A9440B"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 xml:space="preserve">МБУ </w:t>
      </w:r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Pr="0056151B">
        <w:rPr>
          <w:rFonts w:eastAsiaTheme="minorHAnsi"/>
          <w:sz w:val="28"/>
          <w:szCs w:val="28"/>
          <w:lang w:eastAsia="en-US"/>
        </w:rPr>
        <w:t>осуществлялось: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сельсовета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377567">
        <w:rPr>
          <w:sz w:val="28"/>
          <w:szCs w:val="28"/>
          <w:shd w:val="clear" w:color="auto" w:fill="FFFFFF"/>
        </w:rPr>
        <w:t xml:space="preserve">сельсовета </w:t>
      </w:r>
      <w:r w:rsidR="00377567" w:rsidRPr="0056151B">
        <w:rPr>
          <w:sz w:val="28"/>
          <w:szCs w:val="28"/>
          <w:shd w:val="clear" w:color="auto" w:fill="FFFFFF"/>
        </w:rPr>
        <w:t>«</w:t>
      </w:r>
      <w:r w:rsidRPr="0056151B">
        <w:rPr>
          <w:sz w:val="28"/>
          <w:szCs w:val="28"/>
          <w:shd w:val="clear" w:color="auto" w:fill="FFFFFF"/>
        </w:rPr>
        <w:t>О введении отраслевых систем оплаты труда раб</w:t>
      </w:r>
      <w:r>
        <w:rPr>
          <w:sz w:val="28"/>
          <w:szCs w:val="28"/>
          <w:shd w:val="clear" w:color="auto" w:fill="FFFFFF"/>
        </w:rPr>
        <w:t xml:space="preserve">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377567">
        <w:rPr>
          <w:sz w:val="28"/>
          <w:szCs w:val="28"/>
          <w:shd w:val="clear" w:color="auto" w:fill="FFFFFF"/>
        </w:rPr>
        <w:t xml:space="preserve">сельсовета </w:t>
      </w:r>
      <w:r w:rsidR="00377567" w:rsidRPr="0056151B">
        <w:rPr>
          <w:sz w:val="28"/>
          <w:szCs w:val="28"/>
          <w:shd w:val="clear" w:color="auto" w:fill="FFFFFF"/>
        </w:rPr>
        <w:t>«</w:t>
      </w:r>
      <w:r w:rsidR="00812277" w:rsidRPr="0056151B">
        <w:rPr>
          <w:sz w:val="28"/>
          <w:szCs w:val="28"/>
          <w:shd w:val="clear" w:color="auto" w:fill="FFFFFF"/>
        </w:rPr>
        <w:t>Культурно – досуговый центр»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Положением о порядке установления стимулирующих выплат работникам муниципального бюджетного учреждения «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>«Культурно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lastRenderedPageBreak/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r w:rsidRPr="00812277">
        <w:rPr>
          <w:rFonts w:eastAsiaTheme="minorHAnsi"/>
          <w:sz w:val="28"/>
          <w:szCs w:val="28"/>
          <w:lang w:eastAsia="en-US"/>
        </w:rPr>
        <w:t xml:space="preserve">КДЦ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разработано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 w:rsidRPr="00812277">
        <w:rPr>
          <w:sz w:val="28"/>
          <w:szCs w:val="28"/>
          <w:shd w:val="clear" w:color="auto" w:fill="FFFFFF"/>
        </w:rPr>
        <w:t xml:space="preserve">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95750C">
        <w:rPr>
          <w:szCs w:val="28"/>
          <w:lang w:val="ru-RU"/>
        </w:rPr>
        <w:t xml:space="preserve">МКУ </w:t>
      </w:r>
      <w:r w:rsidR="002329B7">
        <w:rPr>
          <w:szCs w:val="28"/>
          <w:lang w:val="ru-RU"/>
        </w:rPr>
        <w:t>Новоключевского</w:t>
      </w:r>
      <w:r w:rsidR="00377567" w:rsidRPr="0095750C">
        <w:rPr>
          <w:szCs w:val="28"/>
          <w:lang w:val="ru-RU"/>
        </w:rPr>
        <w:t>сельсовета «</w:t>
      </w:r>
      <w:r w:rsidR="0095750C" w:rsidRPr="0095750C">
        <w:rPr>
          <w:szCs w:val="28"/>
          <w:lang w:val="ru-RU"/>
        </w:rPr>
        <w:t>Культурно-досуговый центр»</w:t>
      </w:r>
      <w:r w:rsidR="0095750C"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>нарушений не выявлено.</w:t>
      </w:r>
    </w:p>
    <w:p w:rsidR="00A161D4" w:rsidRPr="0095750C" w:rsidRDefault="00A161D4" w:rsidP="00B80671">
      <w:pPr>
        <w:jc w:val="both"/>
        <w:rPr>
          <w:color w:val="000000" w:themeColor="text1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экз. </w:t>
      </w:r>
    </w:p>
    <w:p w:rsidR="0000219B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</w:p>
    <w:p w:rsidR="002D1153" w:rsidRDefault="002D1153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</w:p>
    <w:p w:rsidR="002D1153" w:rsidRPr="0095750C" w:rsidRDefault="002D1153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bookmarkStart w:id="0" w:name="_GoBack"/>
      <w:bookmarkEnd w:id="0"/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2329B7">
        <w:rPr>
          <w:szCs w:val="28"/>
          <w:lang w:val="ru-RU"/>
        </w:rPr>
        <w:t>Новоключевского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  </w:t>
      </w:r>
      <w:r w:rsidR="002D1153">
        <w:rPr>
          <w:szCs w:val="28"/>
          <w:lang w:val="ru-RU"/>
        </w:rPr>
        <w:t>В.П. Титаренко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00219B">
      <w:pPr>
        <w:pStyle w:val="31"/>
        <w:ind w:left="0"/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МКУ </w:t>
      </w:r>
      <w:r>
        <w:rPr>
          <w:szCs w:val="28"/>
          <w:lang w:val="ru-RU"/>
        </w:rPr>
        <w:t>Новоключевского</w:t>
      </w:r>
      <w:r w:rsidR="0000219B" w:rsidRPr="0095750C">
        <w:rPr>
          <w:szCs w:val="28"/>
          <w:lang w:val="ru-RU"/>
        </w:rPr>
        <w:t xml:space="preserve">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377567">
        <w:rPr>
          <w:szCs w:val="28"/>
          <w:lang w:val="ru-RU"/>
        </w:rPr>
        <w:t>Н.И. К</w:t>
      </w:r>
      <w:r w:rsidR="002329B7">
        <w:rPr>
          <w:szCs w:val="28"/>
          <w:lang w:val="ru-RU"/>
        </w:rPr>
        <w:t>узьмина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7F" w:rsidRDefault="00C8317F" w:rsidP="002C0BFD">
      <w:r>
        <w:separator/>
      </w:r>
    </w:p>
  </w:endnote>
  <w:endnote w:type="continuationSeparator" w:id="1">
    <w:p w:rsidR="00C8317F" w:rsidRDefault="00C8317F" w:rsidP="002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180525"/>
      <w:docPartObj>
        <w:docPartGallery w:val="Page Numbers (Bottom of Page)"/>
        <w:docPartUnique/>
      </w:docPartObj>
    </w:sdtPr>
    <w:sdtContent>
      <w:p w:rsidR="00EF2A25" w:rsidRDefault="00502160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BB4395">
          <w:rPr>
            <w:noProof/>
          </w:rPr>
          <w:t>1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7F" w:rsidRDefault="00C8317F" w:rsidP="002C0BFD">
      <w:r>
        <w:separator/>
      </w:r>
    </w:p>
  </w:footnote>
  <w:footnote w:type="continuationSeparator" w:id="1">
    <w:p w:rsidR="00C8317F" w:rsidRDefault="00C8317F" w:rsidP="002C0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09AF"/>
    <w:rsid w:val="000C19DA"/>
    <w:rsid w:val="000C3E24"/>
    <w:rsid w:val="000C72A6"/>
    <w:rsid w:val="000D04EA"/>
    <w:rsid w:val="000D07FA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1153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77567"/>
    <w:rsid w:val="00381179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02160"/>
    <w:rsid w:val="00502B0C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D54D7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4395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8317F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571A7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lavnij_buhgal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hgalterskaya_otchet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B96E-1AE9-4BE0-AE6A-26B3FA6D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2019-08-01T00:24:00Z</cp:lastPrinted>
  <dcterms:created xsi:type="dcterms:W3CDTF">2024-07-18T05:13:00Z</dcterms:created>
  <dcterms:modified xsi:type="dcterms:W3CDTF">2024-07-18T05:13:00Z</dcterms:modified>
</cp:coreProperties>
</file>